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2" w:rsidRDefault="00EB03B2" w:rsidP="00EB03B2">
      <w:pPr>
        <w:pStyle w:val="1"/>
        <w:spacing w:line="36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АДМИНИСТРАЦИЯ</w:t>
      </w:r>
    </w:p>
    <w:p w:rsidR="00EB03B2" w:rsidRDefault="005E283E" w:rsidP="00EB03B2">
      <w:pPr>
        <w:pStyle w:val="1"/>
        <w:spacing w:line="36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КУСЬКИ</w:t>
      </w:r>
      <w:r w:rsidR="00EB03B2">
        <w:rPr>
          <w:rStyle w:val="10"/>
          <w:rFonts w:ascii="Arial" w:hAnsi="Arial" w:cs="Arial"/>
          <w:b/>
          <w:sz w:val="32"/>
          <w:szCs w:val="32"/>
        </w:rPr>
        <w:t>НСКОГО СЕЛЬСОВЕТА</w:t>
      </w:r>
    </w:p>
    <w:p w:rsidR="00EB03B2" w:rsidRDefault="005E283E" w:rsidP="00EB03B2">
      <w:pPr>
        <w:pStyle w:val="1"/>
        <w:spacing w:line="36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МАНТУРОВ</w:t>
      </w:r>
      <w:r w:rsidR="00EB03B2">
        <w:rPr>
          <w:rStyle w:val="10"/>
          <w:rFonts w:ascii="Arial" w:hAnsi="Arial" w:cs="Arial"/>
          <w:b/>
          <w:sz w:val="32"/>
          <w:szCs w:val="32"/>
        </w:rPr>
        <w:t>СКОГО РАЙОНА</w:t>
      </w:r>
    </w:p>
    <w:p w:rsidR="00EB03B2" w:rsidRDefault="00EB03B2" w:rsidP="00EB03B2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:rsidR="00EB03B2" w:rsidRDefault="00EB03B2" w:rsidP="00EB03B2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EB03B2" w:rsidRDefault="00EB03B2" w:rsidP="00EB03B2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:rsidR="00EB03B2" w:rsidRDefault="00EB03B2" w:rsidP="00EB03B2">
      <w:pPr>
        <w:pStyle w:val="1"/>
        <w:spacing w:line="240" w:lineRule="auto"/>
        <w:jc w:val="center"/>
        <w:rPr>
          <w:bCs/>
        </w:rPr>
      </w:pPr>
      <w:r>
        <w:rPr>
          <w:rStyle w:val="10"/>
          <w:rFonts w:ascii="Arial" w:hAnsi="Arial" w:cs="Arial"/>
          <w:b/>
          <w:sz w:val="32"/>
          <w:szCs w:val="32"/>
        </w:rPr>
        <w:t>от 12 декабря 2023г.  №</w:t>
      </w:r>
      <w:r w:rsidR="005E283E">
        <w:rPr>
          <w:rStyle w:val="10"/>
          <w:rFonts w:ascii="Arial" w:hAnsi="Arial" w:cs="Arial"/>
          <w:b/>
          <w:sz w:val="32"/>
          <w:szCs w:val="32"/>
        </w:rPr>
        <w:t>71</w:t>
      </w:r>
    </w:p>
    <w:p w:rsidR="00EB03B2" w:rsidRDefault="00EB03B2" w:rsidP="00EB03B2">
      <w:pPr>
        <w:pStyle w:val="ConsPlusTitle"/>
        <w:tabs>
          <w:tab w:val="left" w:pos="426"/>
        </w:tabs>
        <w:spacing w:before="120"/>
        <w:ind w:left="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</w:t>
      </w:r>
      <w:r w:rsidR="005E283E">
        <w:rPr>
          <w:rFonts w:ascii="Arial" w:hAnsi="Arial" w:cs="Arial"/>
          <w:sz w:val="32"/>
          <w:szCs w:val="32"/>
        </w:rPr>
        <w:t>муниципального образования "</w:t>
      </w:r>
      <w:proofErr w:type="spellStart"/>
      <w:r w:rsidR="005E283E">
        <w:rPr>
          <w:rFonts w:ascii="Arial" w:hAnsi="Arial" w:cs="Arial"/>
          <w:sz w:val="32"/>
          <w:szCs w:val="32"/>
        </w:rPr>
        <w:t>Куськинский</w:t>
      </w:r>
      <w:proofErr w:type="spellEnd"/>
      <w:r w:rsidR="005E283E">
        <w:rPr>
          <w:rFonts w:ascii="Arial" w:hAnsi="Arial" w:cs="Arial"/>
          <w:sz w:val="32"/>
          <w:szCs w:val="32"/>
        </w:rPr>
        <w:t xml:space="preserve"> сельсовет" </w:t>
      </w:r>
      <w:proofErr w:type="spellStart"/>
      <w:r w:rsidR="005E283E">
        <w:rPr>
          <w:rFonts w:ascii="Arial" w:hAnsi="Arial" w:cs="Arial"/>
          <w:sz w:val="32"/>
          <w:szCs w:val="32"/>
        </w:rPr>
        <w:t>Мантуров</w:t>
      </w:r>
      <w:r>
        <w:rPr>
          <w:rFonts w:ascii="Arial" w:hAnsi="Arial" w:cs="Arial"/>
          <w:sz w:val="32"/>
          <w:szCs w:val="32"/>
        </w:rPr>
        <w:t>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 на 2024 год</w:t>
      </w:r>
    </w:p>
    <w:p w:rsidR="00EB03B2" w:rsidRDefault="00EB03B2" w:rsidP="00EB03B2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целях</w:t>
      </w:r>
      <w:proofErr w:type="gramEnd"/>
      <w:r>
        <w:rPr>
          <w:rFonts w:ascii="Arial" w:hAnsi="Arial" w:cs="Arial"/>
        </w:rPr>
        <w:t xml:space="preserve">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proofErr w:type="spellStart"/>
      <w:r w:rsidR="005E283E">
        <w:rPr>
          <w:rFonts w:ascii="Arial" w:hAnsi="Arial" w:cs="Arial"/>
        </w:rPr>
        <w:t>Куськинского</w:t>
      </w:r>
      <w:proofErr w:type="spellEnd"/>
      <w:r w:rsidR="005E283E">
        <w:rPr>
          <w:rFonts w:ascii="Arial" w:hAnsi="Arial" w:cs="Arial"/>
        </w:rPr>
        <w:t xml:space="preserve"> сельсовета </w:t>
      </w:r>
      <w:proofErr w:type="spellStart"/>
      <w:r w:rsidR="005E283E">
        <w:rPr>
          <w:rFonts w:ascii="Arial" w:hAnsi="Arial" w:cs="Arial"/>
        </w:rPr>
        <w:t>Мантуровского</w:t>
      </w:r>
      <w:proofErr w:type="spellEnd"/>
      <w:r w:rsidR="005E283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</w:p>
    <w:p w:rsidR="00EB03B2" w:rsidRDefault="00EB03B2" w:rsidP="00EB03B2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ПОСТАНОВЛЯЕТ:</w:t>
      </w:r>
    </w:p>
    <w:p w:rsidR="00EB03B2" w:rsidRDefault="00EB03B2" w:rsidP="00EB03B2">
      <w:pPr>
        <w:pStyle w:val="a3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5E283E">
        <w:rPr>
          <w:rFonts w:ascii="Arial" w:hAnsi="Arial" w:cs="Arial"/>
          <w:bCs/>
        </w:rPr>
        <w:t>«</w:t>
      </w:r>
      <w:proofErr w:type="spellStart"/>
      <w:r w:rsidR="005E283E">
        <w:rPr>
          <w:rFonts w:ascii="Arial" w:hAnsi="Arial" w:cs="Arial"/>
          <w:bCs/>
        </w:rPr>
        <w:t>Куськинский</w:t>
      </w:r>
      <w:proofErr w:type="spellEnd"/>
      <w:r w:rsidR="005E283E">
        <w:rPr>
          <w:rFonts w:ascii="Arial" w:hAnsi="Arial" w:cs="Arial"/>
          <w:bCs/>
        </w:rPr>
        <w:t xml:space="preserve"> сельсовет» </w:t>
      </w:r>
      <w:proofErr w:type="spellStart"/>
      <w:r w:rsidR="005E283E">
        <w:rPr>
          <w:rFonts w:ascii="Arial" w:hAnsi="Arial" w:cs="Arial"/>
          <w:bCs/>
        </w:rPr>
        <w:t>Мантуровского</w:t>
      </w:r>
      <w:proofErr w:type="spellEnd"/>
      <w:r w:rsidR="005E283E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 на 2024 год (Приложение).</w:t>
      </w:r>
    </w:p>
    <w:p w:rsidR="00EB03B2" w:rsidRDefault="00EB03B2" w:rsidP="00EB03B2">
      <w:pPr>
        <w:pStyle w:val="a3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Контроль за исполнением постановления оставляю за собой. </w:t>
      </w:r>
    </w:p>
    <w:p w:rsidR="00EB03B2" w:rsidRDefault="00EB03B2" w:rsidP="00EB03B2">
      <w:pPr>
        <w:pStyle w:val="a3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 w:rsidR="005E283E">
        <w:rPr>
          <w:rFonts w:ascii="Arial" w:hAnsi="Arial" w:cs="Arial"/>
          <w:bCs/>
        </w:rPr>
        <w:t>«</w:t>
      </w:r>
      <w:proofErr w:type="spellStart"/>
      <w:r w:rsidR="005E283E">
        <w:rPr>
          <w:rFonts w:ascii="Arial" w:hAnsi="Arial" w:cs="Arial"/>
          <w:bCs/>
        </w:rPr>
        <w:t>Куськинский</w:t>
      </w:r>
      <w:proofErr w:type="spellEnd"/>
      <w:r w:rsidR="005E283E">
        <w:rPr>
          <w:rFonts w:ascii="Arial" w:hAnsi="Arial" w:cs="Arial"/>
          <w:bCs/>
        </w:rPr>
        <w:t xml:space="preserve"> сельсовет» </w:t>
      </w:r>
      <w:proofErr w:type="spellStart"/>
      <w:r w:rsidR="005E283E">
        <w:rPr>
          <w:rFonts w:ascii="Arial" w:hAnsi="Arial" w:cs="Arial"/>
          <w:bCs/>
        </w:rPr>
        <w:t>Мантуровского</w:t>
      </w:r>
      <w:proofErr w:type="spellEnd"/>
      <w:r w:rsidR="005E283E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 в сети «Интернет».</w:t>
      </w:r>
    </w:p>
    <w:p w:rsidR="00EB03B2" w:rsidRDefault="00EB03B2" w:rsidP="00EB03B2">
      <w:pPr>
        <w:pStyle w:val="a3"/>
        <w:shd w:val="clear" w:color="auto" w:fill="FFFFFF"/>
        <w:rPr>
          <w:rFonts w:ascii="Arial" w:hAnsi="Arial" w:cs="Arial"/>
          <w:bCs/>
        </w:rPr>
      </w:pPr>
    </w:p>
    <w:p w:rsidR="00EB03B2" w:rsidRDefault="005E283E" w:rsidP="00EB03B2">
      <w:pPr>
        <w:pStyle w:val="a3"/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proofErr w:type="spellStart"/>
      <w:r>
        <w:rPr>
          <w:rFonts w:ascii="Arial" w:hAnsi="Arial" w:cs="Arial"/>
          <w:bCs/>
        </w:rPr>
        <w:t>Куськи</w:t>
      </w:r>
      <w:r w:rsidR="00EB03B2">
        <w:rPr>
          <w:rFonts w:ascii="Arial" w:hAnsi="Arial" w:cs="Arial"/>
          <w:bCs/>
        </w:rPr>
        <w:t>нского</w:t>
      </w:r>
      <w:proofErr w:type="spellEnd"/>
      <w:r w:rsidR="00EB03B2">
        <w:rPr>
          <w:rFonts w:ascii="Arial" w:hAnsi="Arial" w:cs="Arial"/>
          <w:bCs/>
        </w:rPr>
        <w:t xml:space="preserve"> сельсовета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              </w:t>
      </w:r>
      <w:proofErr w:type="spellStart"/>
      <w:r>
        <w:rPr>
          <w:rFonts w:ascii="Arial" w:hAnsi="Arial" w:cs="Arial"/>
          <w:bCs/>
        </w:rPr>
        <w:t>Мантуров</w:t>
      </w:r>
      <w:r w:rsidR="00EB03B2">
        <w:rPr>
          <w:rFonts w:ascii="Arial" w:hAnsi="Arial" w:cs="Arial"/>
          <w:bCs/>
        </w:rPr>
        <w:t>ского</w:t>
      </w:r>
      <w:proofErr w:type="spellEnd"/>
      <w:r w:rsidR="00EB03B2">
        <w:rPr>
          <w:rFonts w:ascii="Arial" w:hAnsi="Arial" w:cs="Arial"/>
          <w:bCs/>
        </w:rPr>
        <w:t xml:space="preserve"> района                                                                 </w:t>
      </w:r>
      <w:r>
        <w:rPr>
          <w:rFonts w:ascii="Arial" w:hAnsi="Arial" w:cs="Arial"/>
          <w:bCs/>
        </w:rPr>
        <w:t xml:space="preserve">            А.В. </w:t>
      </w:r>
      <w:proofErr w:type="spellStart"/>
      <w:r>
        <w:rPr>
          <w:rFonts w:ascii="Arial" w:hAnsi="Arial" w:cs="Arial"/>
          <w:bCs/>
        </w:rPr>
        <w:t>Трунов</w:t>
      </w:r>
      <w:proofErr w:type="spellEnd"/>
    </w:p>
    <w:p w:rsidR="00EB03B2" w:rsidRDefault="00EB03B2" w:rsidP="00EB03B2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B03B2" w:rsidRDefault="00EB03B2" w:rsidP="00EB03B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B03B2" w:rsidRDefault="00EB03B2" w:rsidP="00EB03B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Приложение </w:t>
      </w:r>
    </w:p>
    <w:p w:rsidR="00EB03B2" w:rsidRDefault="00EB03B2" w:rsidP="00EB03B2">
      <w:pPr>
        <w:tabs>
          <w:tab w:val="left" w:pos="1077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5E283E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proofErr w:type="spellStart"/>
      <w:r w:rsidR="005E283E">
        <w:rPr>
          <w:rFonts w:ascii="Arial" w:hAnsi="Arial" w:cs="Arial"/>
          <w:sz w:val="24"/>
          <w:szCs w:val="24"/>
        </w:rPr>
        <w:t>Куськи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EB03B2" w:rsidRDefault="005E283E" w:rsidP="00EB03B2">
      <w:pPr>
        <w:tabs>
          <w:tab w:val="left" w:pos="1077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Мантуров</w:t>
      </w:r>
      <w:r w:rsidR="00EB03B2">
        <w:rPr>
          <w:rFonts w:ascii="Arial" w:hAnsi="Arial" w:cs="Arial"/>
          <w:sz w:val="24"/>
          <w:szCs w:val="24"/>
        </w:rPr>
        <w:t>ского</w:t>
      </w:r>
      <w:proofErr w:type="spellEnd"/>
      <w:r w:rsidR="00EB03B2">
        <w:rPr>
          <w:rFonts w:ascii="Arial" w:hAnsi="Arial" w:cs="Arial"/>
          <w:sz w:val="24"/>
          <w:szCs w:val="24"/>
        </w:rPr>
        <w:t xml:space="preserve"> района</w:t>
      </w:r>
    </w:p>
    <w:p w:rsidR="00EB03B2" w:rsidRDefault="005E283E" w:rsidP="00EB03B2">
      <w:pPr>
        <w:tabs>
          <w:tab w:val="left" w:pos="1077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 декабря 2023 №71</w:t>
      </w:r>
    </w:p>
    <w:p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</w:p>
    <w:p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ПРОГРАММА </w:t>
      </w:r>
    </w:p>
    <w:p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в сфере благоустройства на территории муниципального образования </w:t>
      </w:r>
      <w:r w:rsidR="008007D9">
        <w:rPr>
          <w:rFonts w:ascii="Arial" w:eastAsia="Calibri" w:hAnsi="Arial" w:cs="Arial"/>
          <w:b/>
          <w:sz w:val="32"/>
          <w:szCs w:val="32"/>
          <w:lang w:eastAsia="en-US"/>
        </w:rPr>
        <w:t>«</w:t>
      </w:r>
      <w:proofErr w:type="spellStart"/>
      <w:r w:rsidR="005E283E">
        <w:rPr>
          <w:rFonts w:ascii="Arial" w:eastAsia="Calibri" w:hAnsi="Arial" w:cs="Arial"/>
          <w:b/>
          <w:sz w:val="32"/>
          <w:szCs w:val="32"/>
          <w:lang w:eastAsia="en-US"/>
        </w:rPr>
        <w:t>Куськинский</w:t>
      </w:r>
      <w:proofErr w:type="spellEnd"/>
      <w:r w:rsidR="005E283E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</w:t>
      </w:r>
      <w:r w:rsidR="008007D9">
        <w:rPr>
          <w:rFonts w:ascii="Arial" w:eastAsia="Calibri" w:hAnsi="Arial" w:cs="Arial"/>
          <w:b/>
          <w:sz w:val="32"/>
          <w:szCs w:val="32"/>
          <w:lang w:eastAsia="en-US"/>
        </w:rPr>
        <w:t>»</w:t>
      </w:r>
      <w:r w:rsidR="005E283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="005E283E">
        <w:rPr>
          <w:rFonts w:ascii="Arial" w:eastAsia="Calibri" w:hAnsi="Arial" w:cs="Arial"/>
          <w:b/>
          <w:sz w:val="32"/>
          <w:szCs w:val="32"/>
          <w:lang w:eastAsia="en-US"/>
        </w:rPr>
        <w:t>Мантуровского</w:t>
      </w:r>
      <w:proofErr w:type="spellEnd"/>
      <w:r w:rsidR="005E283E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Курской области                    на 2024 год  </w:t>
      </w:r>
    </w:p>
    <w:p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EB03B2" w:rsidRDefault="00EB03B2" w:rsidP="00EB03B2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20"/>
      </w:tblGrid>
      <w:tr w:rsidR="00EB03B2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</w:t>
            </w:r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«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Куськинский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</w:t>
            </w:r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EB03B2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</w:t>
            </w:r>
            <w:r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31.07.202</w:t>
            </w:r>
            <w:r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248-Ф«О государственном контрол</w:t>
            </w:r>
            <w:r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(надзоре</w:t>
            </w:r>
            <w:r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) 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м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контроле </w:t>
            </w:r>
            <w:r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Российско</w:t>
            </w:r>
            <w:r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Федерации»,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B03B2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03B2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) предотвращение рисков причинения вреда охраняемым законом ценностям;</w:t>
            </w:r>
          </w:p>
          <w:p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2) предупреждение нарушений контролируемыми лицами обязательных требований, включая устранение причин, факторов и условий, способствующих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возможному нарушению обязательных требований;</w:t>
            </w:r>
          </w:p>
          <w:p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мотивация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обеспечение прозрачности контрольной деятельности и информационной открытости;</w:t>
            </w:r>
          </w:p>
          <w:p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информирование контролируемых лиц и иных заинтересованных лиц по вопросам соблюдения обязательных требований.</w:t>
            </w:r>
          </w:p>
        </w:tc>
      </w:tr>
      <w:tr w:rsidR="00EB03B2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1) 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  <w:p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03B2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</w:tr>
      <w:tr w:rsidR="00EB03B2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М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 xml:space="preserve">инимизирование количества нарушений субъектами профилактики обязательных требований,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lastRenderedPageBreak/>
              <w:t>установленных Правилами благоустройства;</w:t>
            </w:r>
          </w:p>
          <w:p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B03B2" w:rsidRDefault="00EB03B2" w:rsidP="00EB03B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03B2" w:rsidRDefault="00EB03B2" w:rsidP="00EB03B2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B03B2" w:rsidRDefault="00EB03B2" w:rsidP="00EB03B2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</w:t>
      </w:r>
      <w:r w:rsidR="005E283E">
        <w:rPr>
          <w:rFonts w:ascii="Arial" w:hAnsi="Arial" w:cs="Arial"/>
          <w:sz w:val="24"/>
          <w:szCs w:val="24"/>
          <w:lang w:eastAsia="en-US"/>
        </w:rPr>
        <w:t>«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Куськинский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Мантуровского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hAnsi="Arial" w:cs="Arial"/>
          <w:sz w:val="24"/>
          <w:szCs w:val="24"/>
          <w:lang w:eastAsia="en-US"/>
        </w:rPr>
        <w:t xml:space="preserve"> Курской области</w:t>
      </w:r>
      <w:r w:rsidR="005E283E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Правилами благоустройства территории муниципального образования </w:t>
      </w:r>
      <w:r w:rsidR="005E283E">
        <w:rPr>
          <w:rFonts w:ascii="Arial" w:hAnsi="Arial" w:cs="Arial"/>
          <w:sz w:val="24"/>
          <w:szCs w:val="24"/>
          <w:lang w:eastAsia="en-US"/>
        </w:rPr>
        <w:t>«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Куськинский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Мантуровского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hAnsi="Arial" w:cs="Arial"/>
          <w:sz w:val="24"/>
          <w:szCs w:val="24"/>
          <w:lang w:eastAsia="en-US"/>
        </w:rPr>
        <w:t xml:space="preserve"> Курской области.</w:t>
      </w:r>
      <w:proofErr w:type="gramEnd"/>
      <w:r w:rsidR="005E283E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Данные полномочия реализуются Администрацией 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Куськинского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Мантуровского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hAnsi="Arial" w:cs="Arial"/>
          <w:sz w:val="24"/>
          <w:szCs w:val="24"/>
          <w:lang w:eastAsia="en-US"/>
        </w:rPr>
        <w:t xml:space="preserve"> при осуществлении муниципальной функции по осуществлению муниципального контроля в сфере благоустройства.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юридические лица;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индивидуальные предприниматели;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физические лица.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За текущий период 2023 года в рамках муниципального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Правил бл</w:t>
      </w:r>
      <w:r w:rsidR="005E283E">
        <w:rPr>
          <w:rFonts w:ascii="Arial" w:hAnsi="Arial" w:cs="Arial"/>
          <w:sz w:val="24"/>
          <w:szCs w:val="24"/>
        </w:rPr>
        <w:t xml:space="preserve">агоустройства на территории </w:t>
      </w:r>
      <w:proofErr w:type="spellStart"/>
      <w:r w:rsidR="005E283E">
        <w:rPr>
          <w:rFonts w:ascii="Arial" w:hAnsi="Arial" w:cs="Arial"/>
          <w:sz w:val="24"/>
          <w:szCs w:val="24"/>
        </w:rPr>
        <w:t>Куськи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8007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D9">
        <w:rPr>
          <w:rFonts w:ascii="Arial" w:hAnsi="Arial" w:cs="Arial"/>
          <w:sz w:val="24"/>
          <w:szCs w:val="24"/>
        </w:rPr>
        <w:t>Мантуровского</w:t>
      </w:r>
      <w:proofErr w:type="spellEnd"/>
      <w:r w:rsidR="008007D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плановые и внеплановые проверки, мероприятия по контролю без взаимодействия с субъек</w:t>
      </w:r>
      <w:r w:rsidR="005E283E">
        <w:rPr>
          <w:rFonts w:ascii="Arial" w:hAnsi="Arial" w:cs="Arial"/>
          <w:sz w:val="24"/>
          <w:szCs w:val="24"/>
        </w:rPr>
        <w:t xml:space="preserve">тами контроля на территории </w:t>
      </w:r>
      <w:proofErr w:type="spellStart"/>
      <w:r w:rsidR="005E283E">
        <w:rPr>
          <w:rFonts w:ascii="Arial" w:hAnsi="Arial" w:cs="Arial"/>
          <w:sz w:val="24"/>
          <w:szCs w:val="24"/>
        </w:rPr>
        <w:t>Куськи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8007D9" w:rsidRPr="008007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D9">
        <w:rPr>
          <w:rFonts w:ascii="Arial" w:hAnsi="Arial" w:cs="Arial"/>
          <w:sz w:val="24"/>
          <w:szCs w:val="24"/>
        </w:rPr>
        <w:t>Мантуровского</w:t>
      </w:r>
      <w:proofErr w:type="spellEnd"/>
      <w:r w:rsidR="008007D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не проводились.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B03B2" w:rsidRDefault="00EB03B2" w:rsidP="00EB03B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</w:t>
      </w:r>
      <w:r w:rsidR="005E283E">
        <w:rPr>
          <w:rFonts w:ascii="Arial" w:hAnsi="Arial" w:cs="Arial"/>
          <w:sz w:val="24"/>
          <w:szCs w:val="24"/>
        </w:rPr>
        <w:t xml:space="preserve">го контроля, Администрацией </w:t>
      </w:r>
      <w:proofErr w:type="spellStart"/>
      <w:r w:rsidR="005E283E">
        <w:rPr>
          <w:rFonts w:ascii="Arial" w:hAnsi="Arial" w:cs="Arial"/>
          <w:sz w:val="24"/>
          <w:szCs w:val="24"/>
        </w:rPr>
        <w:t>Куськи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8007D9" w:rsidRPr="008007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D9">
        <w:rPr>
          <w:rFonts w:ascii="Arial" w:hAnsi="Arial" w:cs="Arial"/>
          <w:sz w:val="24"/>
          <w:szCs w:val="24"/>
        </w:rPr>
        <w:t>Мантуровского</w:t>
      </w:r>
      <w:proofErr w:type="spellEnd"/>
      <w:r w:rsidR="008007D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в 2023 году проведена следующая работа: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осуществлено консультирование подконтрольных субъектов по вопросам соблюдения обязательных требований; 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Проведены профилактические визиты по месту деятельности контролируемых лиц</w:t>
      </w:r>
    </w:p>
    <w:p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B03B2" w:rsidRDefault="00EB03B2" w:rsidP="00EB03B2">
      <w:pPr>
        <w:widowControl w:val="0"/>
        <w:autoSpaceDE w:val="0"/>
        <w:autoSpaceDN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:rsidR="00EB03B2" w:rsidRDefault="00EB03B2" w:rsidP="00EB03B2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B03B2" w:rsidRDefault="00EB03B2" w:rsidP="00EB03B2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2. Цели и задачи реализации программы профилактики</w:t>
      </w:r>
    </w:p>
    <w:p w:rsidR="00EB03B2" w:rsidRDefault="00EB03B2" w:rsidP="00EB03B2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lastRenderedPageBreak/>
        <w:t>обеспечению прозрачности контрольной деятельности и информационной открытости;</w:t>
      </w:r>
    </w:p>
    <w:p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EB03B2" w:rsidRDefault="00EB03B2" w:rsidP="00EB03B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ab/>
        <w:t>2.2. Проведение профилактических мероприятий позволит решить следующие задачи:</w:t>
      </w:r>
    </w:p>
    <w:p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proofErr w:type="gramStart"/>
      <w:r>
        <w:rPr>
          <w:rFonts w:ascii="Arial" w:hAnsi="Arial" w:cs="Arial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E283E">
        <w:rPr>
          <w:rFonts w:ascii="Arial" w:hAnsi="Arial" w:cs="Arial"/>
          <w:sz w:val="24"/>
          <w:szCs w:val="24"/>
        </w:rPr>
        <w:t>«</w:t>
      </w:r>
      <w:proofErr w:type="spellStart"/>
      <w:r w:rsidR="005E283E">
        <w:rPr>
          <w:rFonts w:ascii="Arial" w:hAnsi="Arial" w:cs="Arial"/>
          <w:sz w:val="24"/>
          <w:szCs w:val="24"/>
        </w:rPr>
        <w:t>Куськинский</w:t>
      </w:r>
      <w:proofErr w:type="spellEnd"/>
      <w:r w:rsidR="005E283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5E283E">
        <w:rPr>
          <w:rFonts w:ascii="Arial" w:hAnsi="Arial" w:cs="Arial"/>
          <w:sz w:val="24"/>
          <w:szCs w:val="24"/>
        </w:rPr>
        <w:t>Мантуровского</w:t>
      </w:r>
      <w:proofErr w:type="spellEnd"/>
      <w:r w:rsidR="005E283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области, утвержденном </w:t>
      </w:r>
      <w:r w:rsidR="005E283E">
        <w:rPr>
          <w:rFonts w:ascii="Arial" w:hAnsi="Arial" w:cs="Arial"/>
          <w:sz w:val="24"/>
          <w:szCs w:val="24"/>
        </w:rPr>
        <w:t xml:space="preserve">решением Собрания депутатов </w:t>
      </w:r>
      <w:proofErr w:type="spellStart"/>
      <w:r w:rsidR="005E283E">
        <w:rPr>
          <w:rFonts w:ascii="Arial" w:hAnsi="Arial" w:cs="Arial"/>
          <w:sz w:val="24"/>
          <w:szCs w:val="24"/>
        </w:rPr>
        <w:t>Куськи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8007D9" w:rsidRPr="008007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D9">
        <w:rPr>
          <w:rFonts w:ascii="Arial" w:hAnsi="Arial" w:cs="Arial"/>
          <w:sz w:val="24"/>
          <w:szCs w:val="24"/>
        </w:rPr>
        <w:t>Мантуровского</w:t>
      </w:r>
      <w:proofErr w:type="spellEnd"/>
      <w:r w:rsidR="008007D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, Администрацией </w:t>
      </w:r>
      <w:proofErr w:type="spellStart"/>
      <w:r w:rsidR="005E283E">
        <w:rPr>
          <w:rFonts w:ascii="Arial" w:hAnsi="Arial" w:cs="Arial"/>
          <w:sz w:val="24"/>
          <w:szCs w:val="24"/>
        </w:rPr>
        <w:t>Куськинского</w:t>
      </w:r>
      <w:proofErr w:type="spellEnd"/>
      <w:r w:rsidR="005E283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E283E">
        <w:rPr>
          <w:rFonts w:ascii="Arial" w:hAnsi="Arial" w:cs="Arial"/>
          <w:sz w:val="24"/>
          <w:szCs w:val="24"/>
        </w:rPr>
        <w:t>Мантуровского</w:t>
      </w:r>
      <w:proofErr w:type="spellEnd"/>
      <w:r w:rsidR="005E283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проводятся следующие профилактические мероприятия: </w:t>
      </w:r>
    </w:p>
    <w:p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практики;</w:t>
      </w:r>
    </w:p>
    <w:p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осуществление:  </w:t>
      </w:r>
    </w:p>
    <w:tbl>
      <w:tblPr>
        <w:tblStyle w:val="a4"/>
        <w:tblW w:w="0" w:type="auto"/>
        <w:tblLook w:val="04A0"/>
      </w:tblPr>
      <w:tblGrid>
        <w:gridCol w:w="828"/>
        <w:gridCol w:w="3600"/>
        <w:gridCol w:w="2533"/>
        <w:gridCol w:w="2464"/>
      </w:tblGrid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Информирование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контролируемых лиц посредством размещения сведений, предусмотренных Федеральным законом № 248-ФЗ, на официальном сайте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 в сети «Интернет»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/Заме</w:t>
            </w:r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ститель Главы Администрации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Куськи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Контрольный орган размещает и поддерживает в актуальном состоянии на официальном сайте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</w:rPr>
              <w:t>Куськинского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</w:rPr>
              <w:t>Мантуровского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руководства по соблюдению обязательных требований, разработанные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утвержденные в соответствии с Федеральным законом «Об обязательных требованиях в Российской Федерации»;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программу профилактики рисков причинения вреда;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доклады о муниципальном контроле в сфере благоустройства;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Обобщение правоприменительной практики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осуществления муниципального контроля в сфере благоустройства  осуществляется  контрольным органом посредством сбора и анализа данных о проведенных контрольных мероприятиях и их результатов. По итогам обобщения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правоприменительной практики готовится доклад, содержащий результаты обобщения правоприменительной практики.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Контрольный орган обеспечивает публичное обсуждение проекта доклада о правоприменительной практике, размещая его на официальном сайте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</w:rPr>
              <w:t>Куськинского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</w:rPr>
              <w:t>Мантуровского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8007D9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района/Заместитель Главы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Один раз в год не позднее 1 июля 2024 года</w:t>
            </w:r>
          </w:p>
        </w:tc>
      </w:tr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8007D9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района/Заместитель Главы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Консультирование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осуществляется по обращению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-в письменной форме, в ходе контрольного мероприятия, либо профилактического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мероприятия. </w:t>
            </w:r>
          </w:p>
          <w:p w:rsidR="00EB03B2" w:rsidRDefault="00EB03B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осуществляется в устной и письменной форме по следующим вопросам:</w:t>
            </w:r>
          </w:p>
          <w:p w:rsidR="00EB03B2" w:rsidRDefault="00EB03B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1) организация и осуществление контроля в сфере благоустройства;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основания для проведения профилактических и внеплановых контрольных (надзорных) мероприятий;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порядка проведения контрольного (надзорного) мероприятия;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порядка принятия решений по итогам профилактических и контрольных (надзорных) мероприятий;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5) порядка обжалования  действий (бездействия) должностных лиц по результатам профилактических и контрольных (надзорных) мероприятий.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8007D9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</w:t>
            </w:r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нского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Глава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Куськи</w:t>
            </w:r>
            <w:r w:rsidR="00EB03B2">
              <w:rPr>
                <w:rFonts w:ascii="Arial" w:hAnsi="Arial" w:cs="Arial"/>
                <w:sz w:val="24"/>
                <w:szCs w:val="24"/>
                <w:lang w:eastAsia="en-US"/>
              </w:rPr>
              <w:t>нского</w:t>
            </w:r>
            <w:proofErr w:type="spellEnd"/>
            <w:r w:rsidR="00EB03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  <w:r w:rsidR="00EB03B2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5E283E">
              <w:rPr>
                <w:rFonts w:ascii="Arial" w:hAnsi="Arial" w:cs="Arial"/>
                <w:sz w:val="24"/>
                <w:szCs w:val="24"/>
                <w:lang w:eastAsia="en-US"/>
              </w:rPr>
              <w:t>Куськи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007D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</w:p>
        </w:tc>
      </w:tr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8007D9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района/Заместитель Главы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EB03B2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 w:rsidP="00376D83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376D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магазину ИП Булгаков В.С.</w:t>
            </w:r>
            <w:r w:rsidR="008007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 адресу: 307005, Курская область, </w:t>
            </w:r>
            <w:proofErr w:type="spellStart"/>
            <w:r w:rsidR="008007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Мантуровский</w:t>
            </w:r>
            <w:proofErr w:type="spellEnd"/>
            <w:r w:rsidR="008007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район, с. Пузачи, улица им.Е.Жилина</w:t>
            </w:r>
            <w:proofErr w:type="gramStart"/>
            <w:r w:rsidR="008007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,д</w:t>
            </w:r>
            <w:proofErr w:type="gramEnd"/>
            <w:r w:rsidR="008007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.11А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8007D9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района/Заместитель Главы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Куськинского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Мантуровского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квартал /октябрь 2024 года</w:t>
            </w:r>
          </w:p>
        </w:tc>
      </w:tr>
    </w:tbl>
    <w:p w:rsidR="00EB03B2" w:rsidRDefault="00EB03B2" w:rsidP="00EB03B2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EB03B2" w:rsidRDefault="00EB03B2" w:rsidP="00EB03B2">
      <w:pPr>
        <w:widowControl w:val="0"/>
        <w:tabs>
          <w:tab w:val="left" w:pos="992"/>
        </w:tabs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lastRenderedPageBreak/>
        <w:t>4. Показатели результативности и эффективности программы профилактики рисков причинения вреда (ущерба)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 Количество выданных предписаний;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 Количество субъектов, которым выданы предписания;</w:t>
      </w:r>
    </w:p>
    <w:p w:rsidR="008007D9" w:rsidRDefault="00EB03B2" w:rsidP="008007D9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B03B2" w:rsidRPr="008007D9" w:rsidRDefault="00EB03B2" w:rsidP="008007D9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EB03B2" w:rsidRDefault="00EB03B2" w:rsidP="00EB03B2">
      <w:pPr>
        <w:widowControl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B03B2" w:rsidRDefault="00EB03B2" w:rsidP="00EB03B2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4.3.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376D83">
        <w:rPr>
          <w:rFonts w:ascii="Arial" w:hAnsi="Arial" w:cs="Arial"/>
          <w:sz w:val="24"/>
          <w:szCs w:val="24"/>
          <w:lang w:eastAsia="en-US"/>
        </w:rPr>
        <w:t>«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Куськинский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proofErr w:type="gramEnd"/>
      <w:r w:rsidR="00376D83">
        <w:rPr>
          <w:rFonts w:ascii="Arial" w:hAnsi="Arial" w:cs="Arial"/>
          <w:sz w:val="24"/>
          <w:szCs w:val="24"/>
          <w:lang w:eastAsia="en-US"/>
        </w:rPr>
        <w:t>»</w:t>
      </w:r>
      <w:r w:rsidR="005E283E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Мантуровского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hAnsi="Arial" w:cs="Arial"/>
          <w:sz w:val="24"/>
          <w:szCs w:val="24"/>
          <w:lang w:eastAsia="en-US"/>
        </w:rPr>
        <w:t xml:space="preserve"> Курской области.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4.4. Целевым показателем Программы является: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Д =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/Кс*100, где: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муниципального образования </w:t>
      </w:r>
      <w:r w:rsidR="005E283E">
        <w:rPr>
          <w:rFonts w:ascii="Arial" w:hAnsi="Arial" w:cs="Arial"/>
          <w:sz w:val="24"/>
          <w:szCs w:val="24"/>
          <w:lang w:eastAsia="en-US"/>
        </w:rPr>
        <w:t>«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Куськинский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5E283E">
        <w:rPr>
          <w:rFonts w:ascii="Arial" w:hAnsi="Arial" w:cs="Arial"/>
          <w:sz w:val="24"/>
          <w:szCs w:val="24"/>
          <w:lang w:eastAsia="en-US"/>
        </w:rPr>
        <w:t>Мантуровского</w:t>
      </w:r>
      <w:proofErr w:type="spellEnd"/>
      <w:r w:rsidR="005E283E">
        <w:rPr>
          <w:rFonts w:ascii="Arial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hAnsi="Arial" w:cs="Arial"/>
          <w:sz w:val="24"/>
          <w:szCs w:val="24"/>
          <w:lang w:eastAsia="en-US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lastRenderedPageBreak/>
        <w:t>информационно-телекоммуникационной сети Интернет.</w:t>
      </w:r>
    </w:p>
    <w:p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21168E" w:rsidRDefault="0021168E"/>
    <w:sectPr w:rsidR="0021168E" w:rsidSect="001A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A9"/>
    <w:rsid w:val="001A0E09"/>
    <w:rsid w:val="0021168E"/>
    <w:rsid w:val="00376D83"/>
    <w:rsid w:val="003F3094"/>
    <w:rsid w:val="005E283E"/>
    <w:rsid w:val="00767F61"/>
    <w:rsid w:val="008007D9"/>
    <w:rsid w:val="009230A9"/>
    <w:rsid w:val="00BD02F8"/>
    <w:rsid w:val="00EB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semiHidden/>
    <w:rsid w:val="00EB03B2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semiHidden/>
    <w:rsid w:val="00EB0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шрифт абзаца1"/>
    <w:rsid w:val="00EB03B2"/>
  </w:style>
  <w:style w:type="table" w:styleId="a4">
    <w:name w:val="Table Grid"/>
    <w:basedOn w:val="a1"/>
    <w:uiPriority w:val="59"/>
    <w:rsid w:val="00EB03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User</cp:lastModifiedBy>
  <cp:revision>5</cp:revision>
  <cp:lastPrinted>2023-12-12T06:24:00Z</cp:lastPrinted>
  <dcterms:created xsi:type="dcterms:W3CDTF">2023-12-12T06:15:00Z</dcterms:created>
  <dcterms:modified xsi:type="dcterms:W3CDTF">2023-12-14T12:47:00Z</dcterms:modified>
</cp:coreProperties>
</file>